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24" w:rsidRDefault="000C1824">
      <w:pPr>
        <w:widowControl w:val="0"/>
        <w:autoSpaceDE w:val="0"/>
        <w:autoSpaceDN w:val="0"/>
        <w:adjustRightInd w:val="0"/>
        <w:spacing w:after="0" w:line="240" w:lineRule="auto"/>
        <w:jc w:val="center"/>
        <w:rPr>
          <w:rFonts w:ascii="Calibri" w:hAnsi="Calibri" w:cs="Calibri"/>
          <w:b/>
          <w:bCs/>
        </w:rPr>
      </w:pPr>
      <w:bookmarkStart w:id="0" w:name="_GoBack"/>
      <w:bookmarkEnd w:id="0"/>
      <w:r>
        <w:rPr>
          <w:rFonts w:ascii="Calibri" w:hAnsi="Calibri" w:cs="Calibri"/>
          <w:b/>
          <w:bCs/>
        </w:rPr>
        <w:t>МИНИСТЕРСТВО ЭКОНОМИЧЕСКОГО РАЗВИТИЯ РОССИЙСКОЙ ФЕДЕРАЦИИ</w:t>
      </w:r>
    </w:p>
    <w:p w:rsidR="000C1824" w:rsidRDefault="000C1824">
      <w:pPr>
        <w:widowControl w:val="0"/>
        <w:autoSpaceDE w:val="0"/>
        <w:autoSpaceDN w:val="0"/>
        <w:adjustRightInd w:val="0"/>
        <w:spacing w:after="0" w:line="240" w:lineRule="auto"/>
        <w:jc w:val="center"/>
        <w:rPr>
          <w:rFonts w:ascii="Calibri" w:hAnsi="Calibri" w:cs="Calibri"/>
          <w:b/>
          <w:bCs/>
        </w:rPr>
      </w:pP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апреля 2011 г. N 175</w:t>
      </w:r>
    </w:p>
    <w:p w:rsidR="000C1824" w:rsidRDefault="000C1824">
      <w:pPr>
        <w:widowControl w:val="0"/>
        <w:autoSpaceDE w:val="0"/>
        <w:autoSpaceDN w:val="0"/>
        <w:adjustRightInd w:val="0"/>
        <w:spacing w:after="0" w:line="240" w:lineRule="auto"/>
        <w:jc w:val="center"/>
        <w:rPr>
          <w:rFonts w:ascii="Calibri" w:hAnsi="Calibri" w:cs="Calibri"/>
          <w:b/>
          <w:bCs/>
        </w:rPr>
      </w:pP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МЕТОДИКИ</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АНАЛИЗА ФИНАНСОВОГО СОСТОЯНИЯ ЗАИНТЕРЕСОВАННОГО</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ЛИЦА В ЦЕЛЯХ УСТАНОВЛЕНИЯ УГРОЗЫ ВОЗНИКНОВЕНИЯ ПРИЗНАКОВ</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ЕГО НЕСОСТОЯТЕЛЬНОСТИ (БАНКРОТСТВА) В СЛУЧАЕ</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ЕДИНОВРЕМЕННОЙ УПЛАТЫ ЭТИМ ЛИЦОМ НАЛОГА</w:t>
      </w:r>
    </w:p>
    <w:p w:rsidR="000C1824" w:rsidRDefault="000C1824">
      <w:pPr>
        <w:widowControl w:val="0"/>
        <w:autoSpaceDE w:val="0"/>
        <w:autoSpaceDN w:val="0"/>
        <w:adjustRightInd w:val="0"/>
        <w:spacing w:after="0" w:line="240" w:lineRule="auto"/>
        <w:ind w:firstLine="540"/>
        <w:jc w:val="both"/>
        <w:rPr>
          <w:rFonts w:ascii="Calibri" w:hAnsi="Calibri" w:cs="Calibri"/>
        </w:rPr>
      </w:pPr>
    </w:p>
    <w:p w:rsidR="000C1824" w:rsidRDefault="000C182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5" w:history="1">
        <w:r>
          <w:rPr>
            <w:rFonts w:ascii="Calibri" w:hAnsi="Calibri" w:cs="Calibri"/>
            <w:color w:val="0000FF"/>
          </w:rPr>
          <w:t>пунктом 5.1 статьи 64</w:t>
        </w:r>
      </w:hyperlink>
      <w:r>
        <w:rPr>
          <w:rFonts w:ascii="Calibri" w:hAnsi="Calibri" w:cs="Calibri"/>
        </w:rPr>
        <w:t xml:space="preserve"> части первой Налогового кодекса Российской Федерации (Собрание законодательства Российской Федерации, 1998, N 31, ст. 3824; 2010, N 31, ст. 4198), </w:t>
      </w:r>
      <w:hyperlink r:id="rId6" w:history="1">
        <w:r>
          <w:rPr>
            <w:rFonts w:ascii="Calibri" w:hAnsi="Calibri" w:cs="Calibri"/>
            <w:color w:val="0000FF"/>
          </w:rPr>
          <w:t>пунктом 5.2.28.71</w:t>
        </w:r>
      </w:hyperlink>
      <w:r>
        <w:rPr>
          <w:rFonts w:ascii="Calibri" w:hAnsi="Calibri" w:cs="Calibri"/>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w:t>
      </w:r>
      <w:proofErr w:type="gramEnd"/>
      <w:r>
        <w:rPr>
          <w:rFonts w:ascii="Calibri" w:hAnsi="Calibri" w:cs="Calibri"/>
        </w:rPr>
        <w:t xml:space="preserve"> </w:t>
      </w:r>
      <w:proofErr w:type="gramStart"/>
      <w:r>
        <w:rPr>
          <w:rFonts w:ascii="Calibri" w:hAnsi="Calibri" w:cs="Calibri"/>
        </w:rPr>
        <w:t>2010, N 41, ст. 5240), приказываю:</w:t>
      </w:r>
      <w:proofErr w:type="gramEnd"/>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прилагаемую </w:t>
      </w:r>
      <w:hyperlink w:anchor="Par30" w:history="1">
        <w:r>
          <w:rPr>
            <w:rFonts w:ascii="Calibri" w:hAnsi="Calibri" w:cs="Calibri"/>
            <w:color w:val="0000FF"/>
          </w:rPr>
          <w:t>Методику</w:t>
        </w:r>
      </w:hyperlink>
      <w:r>
        <w:rPr>
          <w:rFonts w:ascii="Calibri" w:hAnsi="Calibri" w:cs="Calibri"/>
        </w:rPr>
        <w:t xml:space="preserve"> проведения анализа финансового состояния заинтересованного лица в целях установления угрозы возникновения признаков его несостоятельности (банкротства) в случае единовременной уплаты этим лицом налога.</w:t>
      </w:r>
    </w:p>
    <w:p w:rsidR="000C1824" w:rsidRDefault="000C1824">
      <w:pPr>
        <w:widowControl w:val="0"/>
        <w:autoSpaceDE w:val="0"/>
        <w:autoSpaceDN w:val="0"/>
        <w:adjustRightInd w:val="0"/>
        <w:spacing w:after="0" w:line="240" w:lineRule="auto"/>
        <w:ind w:firstLine="540"/>
        <w:jc w:val="both"/>
        <w:rPr>
          <w:rFonts w:ascii="Calibri" w:hAnsi="Calibri" w:cs="Calibri"/>
        </w:rPr>
      </w:pPr>
    </w:p>
    <w:p w:rsidR="000C1824" w:rsidRDefault="000C1824">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0C1824" w:rsidRDefault="000C1824">
      <w:pPr>
        <w:widowControl w:val="0"/>
        <w:autoSpaceDE w:val="0"/>
        <w:autoSpaceDN w:val="0"/>
        <w:adjustRightInd w:val="0"/>
        <w:spacing w:after="0" w:line="240" w:lineRule="auto"/>
        <w:jc w:val="right"/>
        <w:rPr>
          <w:rFonts w:ascii="Calibri" w:hAnsi="Calibri" w:cs="Calibri"/>
        </w:rPr>
      </w:pPr>
      <w:r>
        <w:rPr>
          <w:rFonts w:ascii="Calibri" w:hAnsi="Calibri" w:cs="Calibri"/>
        </w:rPr>
        <w:t>Э.С.НАБИУЛЛИНА</w:t>
      </w:r>
    </w:p>
    <w:p w:rsidR="000C1824" w:rsidRDefault="000C1824">
      <w:pPr>
        <w:widowControl w:val="0"/>
        <w:autoSpaceDE w:val="0"/>
        <w:autoSpaceDN w:val="0"/>
        <w:adjustRightInd w:val="0"/>
        <w:spacing w:after="0" w:line="240" w:lineRule="auto"/>
        <w:jc w:val="right"/>
        <w:rPr>
          <w:rFonts w:ascii="Calibri" w:hAnsi="Calibri" w:cs="Calibri"/>
        </w:rPr>
      </w:pPr>
    </w:p>
    <w:p w:rsidR="000C1824" w:rsidRDefault="000C1824">
      <w:pPr>
        <w:widowControl w:val="0"/>
        <w:autoSpaceDE w:val="0"/>
        <w:autoSpaceDN w:val="0"/>
        <w:adjustRightInd w:val="0"/>
        <w:spacing w:after="0" w:line="240" w:lineRule="auto"/>
        <w:jc w:val="right"/>
        <w:rPr>
          <w:rFonts w:ascii="Calibri" w:hAnsi="Calibri" w:cs="Calibri"/>
        </w:rPr>
      </w:pPr>
    </w:p>
    <w:p w:rsidR="000C1824" w:rsidRDefault="000C1824">
      <w:pPr>
        <w:widowControl w:val="0"/>
        <w:autoSpaceDE w:val="0"/>
        <w:autoSpaceDN w:val="0"/>
        <w:adjustRightInd w:val="0"/>
        <w:spacing w:after="0" w:line="240" w:lineRule="auto"/>
        <w:jc w:val="right"/>
        <w:rPr>
          <w:rFonts w:ascii="Calibri" w:hAnsi="Calibri" w:cs="Calibri"/>
        </w:rPr>
      </w:pPr>
    </w:p>
    <w:p w:rsidR="000C1824" w:rsidRDefault="000C1824">
      <w:pPr>
        <w:widowControl w:val="0"/>
        <w:autoSpaceDE w:val="0"/>
        <w:autoSpaceDN w:val="0"/>
        <w:adjustRightInd w:val="0"/>
        <w:spacing w:after="0" w:line="240" w:lineRule="auto"/>
        <w:jc w:val="right"/>
        <w:rPr>
          <w:rFonts w:ascii="Calibri" w:hAnsi="Calibri" w:cs="Calibri"/>
        </w:rPr>
      </w:pPr>
    </w:p>
    <w:p w:rsidR="000C1824" w:rsidRDefault="000C1824">
      <w:pPr>
        <w:widowControl w:val="0"/>
        <w:autoSpaceDE w:val="0"/>
        <w:autoSpaceDN w:val="0"/>
        <w:adjustRightInd w:val="0"/>
        <w:spacing w:after="0" w:line="240" w:lineRule="auto"/>
        <w:jc w:val="right"/>
        <w:rPr>
          <w:rFonts w:ascii="Calibri" w:hAnsi="Calibri" w:cs="Calibri"/>
        </w:rPr>
      </w:pPr>
    </w:p>
    <w:p w:rsidR="000C1824" w:rsidRDefault="000C1824">
      <w:pPr>
        <w:widowControl w:val="0"/>
        <w:autoSpaceDE w:val="0"/>
        <w:autoSpaceDN w:val="0"/>
        <w:adjustRightInd w:val="0"/>
        <w:spacing w:after="0" w:line="240" w:lineRule="auto"/>
        <w:jc w:val="right"/>
        <w:outlineLvl w:val="0"/>
        <w:rPr>
          <w:rFonts w:ascii="Calibri" w:hAnsi="Calibri" w:cs="Calibri"/>
        </w:rPr>
      </w:pPr>
      <w:bookmarkStart w:id="1" w:name="Par25"/>
      <w:bookmarkEnd w:id="1"/>
      <w:r>
        <w:rPr>
          <w:rFonts w:ascii="Calibri" w:hAnsi="Calibri" w:cs="Calibri"/>
        </w:rPr>
        <w:t>Утверждена</w:t>
      </w:r>
    </w:p>
    <w:p w:rsidR="000C1824" w:rsidRDefault="000C1824">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w:t>
      </w:r>
    </w:p>
    <w:p w:rsidR="000C1824" w:rsidRDefault="000C1824">
      <w:pPr>
        <w:widowControl w:val="0"/>
        <w:autoSpaceDE w:val="0"/>
        <w:autoSpaceDN w:val="0"/>
        <w:adjustRightInd w:val="0"/>
        <w:spacing w:after="0" w:line="240" w:lineRule="auto"/>
        <w:jc w:val="right"/>
        <w:rPr>
          <w:rFonts w:ascii="Calibri" w:hAnsi="Calibri" w:cs="Calibri"/>
        </w:rPr>
      </w:pPr>
      <w:r>
        <w:rPr>
          <w:rFonts w:ascii="Calibri" w:hAnsi="Calibri" w:cs="Calibri"/>
        </w:rPr>
        <w:t>Минэкономразвития России</w:t>
      </w:r>
    </w:p>
    <w:p w:rsidR="000C1824" w:rsidRDefault="000C1824">
      <w:pPr>
        <w:widowControl w:val="0"/>
        <w:autoSpaceDE w:val="0"/>
        <w:autoSpaceDN w:val="0"/>
        <w:adjustRightInd w:val="0"/>
        <w:spacing w:after="0" w:line="240" w:lineRule="auto"/>
        <w:jc w:val="right"/>
        <w:rPr>
          <w:rFonts w:ascii="Calibri" w:hAnsi="Calibri" w:cs="Calibri"/>
        </w:rPr>
      </w:pPr>
      <w:r>
        <w:rPr>
          <w:rFonts w:ascii="Calibri" w:hAnsi="Calibri" w:cs="Calibri"/>
        </w:rPr>
        <w:t>от 18.04.2011 N 175</w:t>
      </w:r>
    </w:p>
    <w:p w:rsidR="000C1824" w:rsidRDefault="000C1824">
      <w:pPr>
        <w:widowControl w:val="0"/>
        <w:autoSpaceDE w:val="0"/>
        <w:autoSpaceDN w:val="0"/>
        <w:adjustRightInd w:val="0"/>
        <w:spacing w:after="0" w:line="240" w:lineRule="auto"/>
        <w:ind w:firstLine="540"/>
        <w:jc w:val="both"/>
        <w:rPr>
          <w:rFonts w:ascii="Calibri" w:hAnsi="Calibri" w:cs="Calibri"/>
        </w:rPr>
      </w:pPr>
    </w:p>
    <w:p w:rsidR="000C1824" w:rsidRDefault="000C1824">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МЕТОДИКА</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АНАЛИЗА ФИНАНСОВОГО СОСТОЯНИЯ ЗАИНТЕРЕСОВАННОГО</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ЛИЦА В ЦЕЛЯХ УСТАНОВЛЕНИЯ УГРОЗЫ ВОЗНИКНОВЕНИЯ ПРИЗНАКОВ</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ЕГО НЕСОСТОЯТЕЛЬНОСТИ (БАНКРОТСТВА) В СЛУЧАЕ</w:t>
      </w:r>
    </w:p>
    <w:p w:rsidR="000C1824" w:rsidRDefault="000C1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ЕДИНОВРЕМЕННОЙ УПЛАТЫ ЭТИМ ЛИЦОМ НАЛОГА</w:t>
      </w:r>
    </w:p>
    <w:p w:rsidR="000C1824" w:rsidRDefault="000C1824">
      <w:pPr>
        <w:widowControl w:val="0"/>
        <w:autoSpaceDE w:val="0"/>
        <w:autoSpaceDN w:val="0"/>
        <w:adjustRightInd w:val="0"/>
        <w:spacing w:after="0" w:line="240" w:lineRule="auto"/>
        <w:ind w:firstLine="540"/>
        <w:jc w:val="both"/>
        <w:rPr>
          <w:rFonts w:ascii="Calibri" w:hAnsi="Calibri" w:cs="Calibri"/>
        </w:rPr>
      </w:pP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Настоящая Методика определяет правила проведения Федеральной налоговой службой анализа финансового состояния хозяйствующего субъекта - заинтересованного лица (далее - заинтересованное лицо), не имеющего признаков (несостоятельности) банкротства, для установления наличия угрозы возникновения признаков несостоятельности (банкротства) этого лица в случае единовременной уплаты им налога с целью решения вопроса о предоставлении отсрочки или рассрочки по основанию, предусмотренному </w:t>
      </w:r>
      <w:hyperlink r:id="rId7" w:history="1">
        <w:r>
          <w:rPr>
            <w:rFonts w:ascii="Calibri" w:hAnsi="Calibri" w:cs="Calibri"/>
            <w:color w:val="0000FF"/>
          </w:rPr>
          <w:t>подпунктом 3 пункта 2 статьи 64</w:t>
        </w:r>
      </w:hyperlink>
      <w:r>
        <w:rPr>
          <w:rFonts w:ascii="Calibri" w:hAnsi="Calibri" w:cs="Calibri"/>
        </w:rPr>
        <w:t xml:space="preserve"> части первой Налогового</w:t>
      </w:r>
      <w:proofErr w:type="gramEnd"/>
      <w:r>
        <w:rPr>
          <w:rFonts w:ascii="Calibri" w:hAnsi="Calibri" w:cs="Calibri"/>
        </w:rPr>
        <w:t xml:space="preserve"> кодекса Российской Федерации (далее - Кодекс) (Собрание законодательства Российской Федерации, 1998, N 31, ст. 3824; 1999, N 28, ст. 3487; 2006, N 31, ст. 3436; 2010, N 31, ст. 4198), с учетом положений </w:t>
      </w:r>
      <w:hyperlink r:id="rId8" w:history="1">
        <w:r>
          <w:rPr>
            <w:rFonts w:ascii="Calibri" w:hAnsi="Calibri" w:cs="Calibri"/>
            <w:color w:val="0000FF"/>
          </w:rPr>
          <w:t>пункта 6 статьи 61</w:t>
        </w:r>
      </w:hyperlink>
      <w:r>
        <w:rPr>
          <w:rFonts w:ascii="Calibri" w:hAnsi="Calibri" w:cs="Calibri"/>
        </w:rPr>
        <w:t xml:space="preserve"> и </w:t>
      </w:r>
      <w:hyperlink r:id="rId9" w:history="1">
        <w:r>
          <w:rPr>
            <w:rFonts w:ascii="Calibri" w:hAnsi="Calibri" w:cs="Calibri"/>
            <w:color w:val="0000FF"/>
          </w:rPr>
          <w:t>пункта 13 статьи 64</w:t>
        </w:r>
      </w:hyperlink>
      <w:r>
        <w:rPr>
          <w:rFonts w:ascii="Calibri" w:hAnsi="Calibri" w:cs="Calibri"/>
        </w:rPr>
        <w:t xml:space="preserve"> Кодекса.</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Анализ финансового состояния заинтересованного лица проводится на основании имеющихся в распоряжении Федеральной налоговой службы и территориальных налоговых органов:</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сведений о подлежащих уплате суммах налогов, сборов, пеней, штрафов;</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сведений, полученных в рамках проведения налогового контроля;</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сведений федерального органа исполнительной власти, уполномоченного в области </w:t>
      </w:r>
      <w:r>
        <w:rPr>
          <w:rFonts w:ascii="Calibri" w:hAnsi="Calibri" w:cs="Calibri"/>
        </w:rPr>
        <w:lastRenderedPageBreak/>
        <w:t>таможенного дела, или уполномоченных им таможенных органов о суммах налогов, пеней, штрафов, подлежащих уплате в связи с перемещением товаров через таможенную границу Российской Федерации;</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сведений органа (должностного лица), уполномоченного совершать юридически значимые действия, за которые подлежит уплате государственная пошлина, о подлежащей уплате сумме этой пошлины;</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сведений других федеральных органов исполнительной власти и государственных внебюджетных фондов Российской </w:t>
      </w:r>
      <w:proofErr w:type="gramStart"/>
      <w:r>
        <w:rPr>
          <w:rFonts w:ascii="Calibri" w:hAnsi="Calibri" w:cs="Calibri"/>
        </w:rPr>
        <w:t>Федерации</w:t>
      </w:r>
      <w:proofErr w:type="gramEnd"/>
      <w:r>
        <w:rPr>
          <w:rFonts w:ascii="Calibri" w:hAnsi="Calibri" w:cs="Calibri"/>
        </w:rPr>
        <w:t xml:space="preserve"> о суммах подлежащих уплате обязательных платежей в бюджетную систему Российской Федерации и денежных обязательств;</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бухгалтерской отчетности, налоговых деклараций (расчетов), документов налогового учета;</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документов, представленных в соответствии с </w:t>
      </w:r>
      <w:hyperlink r:id="rId10" w:history="1">
        <w:r>
          <w:rPr>
            <w:rFonts w:ascii="Calibri" w:hAnsi="Calibri" w:cs="Calibri"/>
            <w:color w:val="0000FF"/>
          </w:rPr>
          <w:t>пунктом 5 статьи 64</w:t>
        </w:r>
      </w:hyperlink>
      <w:r>
        <w:rPr>
          <w:rFonts w:ascii="Calibri" w:hAnsi="Calibri" w:cs="Calibri"/>
        </w:rPr>
        <w:t xml:space="preserve"> Кодекса;</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сведений, опубликованных в соответствии с </w:t>
      </w:r>
      <w:hyperlink r:id="rId11" w:history="1">
        <w:r>
          <w:rPr>
            <w:rFonts w:ascii="Calibri" w:hAnsi="Calibri" w:cs="Calibri"/>
            <w:color w:val="0000FF"/>
          </w:rPr>
          <w:t>законодательством</w:t>
        </w:r>
      </w:hyperlink>
      <w:r>
        <w:rPr>
          <w:rFonts w:ascii="Calibri" w:hAnsi="Calibri" w:cs="Calibri"/>
        </w:rPr>
        <w:t xml:space="preserve"> Российской Федерации о несостоятельности (банкротстве).</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При проведении анализа финансового состояния заинтересованного лица по данным представленной в установленном порядке в налоговый орган бухгалтерской отчетности на последнюю отчетную дату</w:t>
      </w:r>
      <w:proofErr w:type="gramEnd"/>
      <w:r>
        <w:rPr>
          <w:rFonts w:ascii="Calibri" w:hAnsi="Calibri" w:cs="Calibri"/>
        </w:rPr>
        <w:t xml:space="preserve"> рассчитываются следующие показатели, если иное не предусмотрено настоящей Методикой:</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платежеспособности по текущим обязательствам (в месяцах), которая определяется как отношение суммы краткосрочных обязательств, уменьшенных на величину доходов будущих периодов, к среднемесячной выручке, рассчитываемой как отношение выручки, полученной заинтересованным лицом за отчетный период, к количеству месяцев в отчетном периоде;</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текущей ликвидности, который определяется как отношение суммы оборотных активов заинтересованного лица к сумме краткосрочных обязательств, уменьшенных на величину доходов будущих периодов.</w:t>
      </w:r>
    </w:p>
    <w:p w:rsidR="000C1824" w:rsidRDefault="000C182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степень платежеспособности по текущим обязательствам меньше или равна 3 месяцам (6 месяцам - для стратегических организаций и субъектов естественных монополий) и (или) коэффициент текущей ликвидности больше или равен 1, то в отношении заинтересованного лица делается вывод об отсутствии угрозы возникновения признаков несостоятельности (банкротства) этого лица в случае единовременной уплаты им налога.</w:t>
      </w:r>
      <w:proofErr w:type="gramEnd"/>
    </w:p>
    <w:p w:rsidR="000C1824" w:rsidRDefault="000C1824">
      <w:pPr>
        <w:widowControl w:val="0"/>
        <w:autoSpaceDE w:val="0"/>
        <w:autoSpaceDN w:val="0"/>
        <w:adjustRightInd w:val="0"/>
        <w:spacing w:after="0" w:line="240" w:lineRule="auto"/>
        <w:ind w:firstLine="540"/>
        <w:jc w:val="both"/>
        <w:rPr>
          <w:rFonts w:ascii="Calibri" w:hAnsi="Calibri" w:cs="Calibri"/>
        </w:rPr>
      </w:pPr>
      <w:bookmarkStart w:id="3" w:name="Par50"/>
      <w:bookmarkEnd w:id="3"/>
      <w:r>
        <w:rPr>
          <w:rFonts w:ascii="Calibri" w:hAnsi="Calibri" w:cs="Calibri"/>
        </w:rPr>
        <w:t>4. Если степень платежеспособности по текущим обязательствам больше 3 месяцев (6 месяцев - для стратегических организаций и субъектов естественных монополий) и одновременно коэффициент текущей ликвидности меньше 1, то в отношении заинтересованного лица проводится анализ следующих показателей:</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суммы налога, на которую возможно предоставление отсрочки или рассрочки;</w:t>
      </w:r>
    </w:p>
    <w:p w:rsidR="000C1824" w:rsidRDefault="000C1824">
      <w:pPr>
        <w:widowControl w:val="0"/>
        <w:autoSpaceDE w:val="0"/>
        <w:autoSpaceDN w:val="0"/>
        <w:adjustRightInd w:val="0"/>
        <w:spacing w:after="0" w:line="240" w:lineRule="auto"/>
        <w:ind w:firstLine="540"/>
        <w:jc w:val="both"/>
        <w:rPr>
          <w:rFonts w:ascii="Calibri" w:hAnsi="Calibri" w:cs="Calibri"/>
        </w:rPr>
      </w:pPr>
      <w:bookmarkStart w:id="4" w:name="Par52"/>
      <w:bookmarkEnd w:id="4"/>
      <w:proofErr w:type="gramStart"/>
      <w:r>
        <w:rPr>
          <w:rFonts w:ascii="Calibri" w:hAnsi="Calibri" w:cs="Calibri"/>
        </w:rPr>
        <w:t>2) суммы краткосрочных заемных средств и кредиторской задолженности (по данным представленной в установленном порядке в налоговый орган бухгалтерской отчетности на последнюю отчетную дату);</w:t>
      </w:r>
      <w:proofErr w:type="gramEnd"/>
    </w:p>
    <w:p w:rsidR="000C1824" w:rsidRDefault="000C1824">
      <w:pPr>
        <w:widowControl w:val="0"/>
        <w:autoSpaceDE w:val="0"/>
        <w:autoSpaceDN w:val="0"/>
        <w:adjustRightInd w:val="0"/>
        <w:spacing w:after="0" w:line="240" w:lineRule="auto"/>
        <w:ind w:firstLine="540"/>
        <w:jc w:val="both"/>
        <w:rPr>
          <w:rFonts w:ascii="Calibri" w:hAnsi="Calibri" w:cs="Calibri"/>
        </w:rPr>
      </w:pPr>
      <w:bookmarkStart w:id="5" w:name="Par53"/>
      <w:bookmarkEnd w:id="5"/>
      <w:r>
        <w:rPr>
          <w:rFonts w:ascii="Calibri" w:hAnsi="Calibri" w:cs="Calibri"/>
        </w:rPr>
        <w:t>3) суммы краткосрочных заемных средств и кредиторской задолженности (по данным представленной в установленном порядке в налоговый орган бухгалтерской отчетности на последнюю отчетную дату) без учета суммы налога, на которую возможно предоставление отсрочки или рассрочки;</w:t>
      </w:r>
    </w:p>
    <w:p w:rsidR="000C1824" w:rsidRDefault="000C1824">
      <w:pPr>
        <w:widowControl w:val="0"/>
        <w:autoSpaceDE w:val="0"/>
        <w:autoSpaceDN w:val="0"/>
        <w:adjustRightInd w:val="0"/>
        <w:spacing w:after="0" w:line="240" w:lineRule="auto"/>
        <w:ind w:firstLine="540"/>
        <w:jc w:val="both"/>
        <w:rPr>
          <w:rFonts w:ascii="Calibri" w:hAnsi="Calibri" w:cs="Calibri"/>
        </w:rPr>
      </w:pPr>
      <w:bookmarkStart w:id="6" w:name="Par54"/>
      <w:bookmarkEnd w:id="6"/>
      <w:r>
        <w:rPr>
          <w:rFonts w:ascii="Calibri" w:hAnsi="Calibri" w:cs="Calibri"/>
        </w:rPr>
        <w:t>4) чистой прибыли отчетного периода (по данным представленной в установленном порядке в налоговый орган бухгалтерской отчетности на последнюю отчетную дату);</w:t>
      </w:r>
    </w:p>
    <w:p w:rsidR="000C1824" w:rsidRDefault="000C1824">
      <w:pPr>
        <w:widowControl w:val="0"/>
        <w:autoSpaceDE w:val="0"/>
        <w:autoSpaceDN w:val="0"/>
        <w:adjustRightInd w:val="0"/>
        <w:spacing w:after="0" w:line="240" w:lineRule="auto"/>
        <w:ind w:firstLine="540"/>
        <w:jc w:val="both"/>
        <w:rPr>
          <w:rFonts w:ascii="Calibri" w:hAnsi="Calibri" w:cs="Calibri"/>
        </w:rPr>
      </w:pPr>
      <w:bookmarkStart w:id="7" w:name="Par55"/>
      <w:bookmarkEnd w:id="7"/>
      <w:r>
        <w:rPr>
          <w:rFonts w:ascii="Calibri" w:hAnsi="Calibri" w:cs="Calibri"/>
        </w:rPr>
        <w:t xml:space="preserve">5) поступлений денежных средств на счета в банках за 3-месячный (6-месячный - для стратегических организаций и субъектов естественных монополий) период, предшествующий подаче заявления о предоставлении отсрочки или рассрочки (согласно документам, представленным в соответствии с </w:t>
      </w:r>
      <w:hyperlink r:id="rId12" w:history="1">
        <w:r>
          <w:rPr>
            <w:rFonts w:ascii="Calibri" w:hAnsi="Calibri" w:cs="Calibri"/>
            <w:color w:val="0000FF"/>
          </w:rPr>
          <w:t>подпунктом 3 пункта 5 статьи 64</w:t>
        </w:r>
      </w:hyperlink>
      <w:r>
        <w:rPr>
          <w:rFonts w:ascii="Calibri" w:hAnsi="Calibri" w:cs="Calibri"/>
        </w:rPr>
        <w:t xml:space="preserve"> Кодекса).</w:t>
      </w:r>
    </w:p>
    <w:p w:rsidR="000C1824" w:rsidRDefault="000C1824">
      <w:pPr>
        <w:widowControl w:val="0"/>
        <w:autoSpaceDE w:val="0"/>
        <w:autoSpaceDN w:val="0"/>
        <w:adjustRightInd w:val="0"/>
        <w:spacing w:after="0" w:line="240" w:lineRule="auto"/>
        <w:ind w:firstLine="540"/>
        <w:jc w:val="both"/>
        <w:rPr>
          <w:rFonts w:ascii="Calibri" w:hAnsi="Calibri" w:cs="Calibri"/>
        </w:rPr>
      </w:pPr>
      <w:bookmarkStart w:id="8" w:name="Par56"/>
      <w:bookmarkEnd w:id="8"/>
      <w:r>
        <w:rPr>
          <w:rFonts w:ascii="Calibri" w:hAnsi="Calibri" w:cs="Calibri"/>
        </w:rPr>
        <w:t xml:space="preserve">5. На основании анализа показателей, указанных в </w:t>
      </w:r>
      <w:hyperlink w:anchor="Par50" w:history="1">
        <w:r>
          <w:rPr>
            <w:rFonts w:ascii="Calibri" w:hAnsi="Calibri" w:cs="Calibri"/>
            <w:color w:val="0000FF"/>
          </w:rPr>
          <w:t>пункте 4</w:t>
        </w:r>
      </w:hyperlink>
      <w:r>
        <w:rPr>
          <w:rFonts w:ascii="Calibri" w:hAnsi="Calibri" w:cs="Calibri"/>
        </w:rPr>
        <w:t xml:space="preserve"> настоящей Методики, делается вывод об отсутствии угрозы возникновения признаков несостоятельности (банкротства) заинтересованного лица в случае единовременной уплаты им налога при соблюдении одного из следующих условий, если сумма поступлений, указанных в </w:t>
      </w:r>
      <w:hyperlink w:anchor="Par55" w:history="1">
        <w:r>
          <w:rPr>
            <w:rFonts w:ascii="Calibri" w:hAnsi="Calibri" w:cs="Calibri"/>
            <w:color w:val="0000FF"/>
          </w:rPr>
          <w:t>подпункте 5 пункта 4</w:t>
        </w:r>
      </w:hyperlink>
      <w:r>
        <w:rPr>
          <w:rFonts w:ascii="Calibri" w:hAnsi="Calibri" w:cs="Calibri"/>
        </w:rPr>
        <w:t xml:space="preserve"> настоящей Методики:</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больше или </w:t>
      </w:r>
      <w:proofErr w:type="gramStart"/>
      <w:r>
        <w:rPr>
          <w:rFonts w:ascii="Calibri" w:hAnsi="Calibri" w:cs="Calibri"/>
        </w:rPr>
        <w:t>равна</w:t>
      </w:r>
      <w:proofErr w:type="gramEnd"/>
      <w:r>
        <w:rPr>
          <w:rFonts w:ascii="Calibri" w:hAnsi="Calibri" w:cs="Calibri"/>
        </w:rPr>
        <w:t xml:space="preserve"> сумме, указанной в </w:t>
      </w:r>
      <w:hyperlink w:anchor="Par52" w:history="1">
        <w:r>
          <w:rPr>
            <w:rFonts w:ascii="Calibri" w:hAnsi="Calibri" w:cs="Calibri"/>
            <w:color w:val="0000FF"/>
          </w:rPr>
          <w:t>подпункте 2 пункта 4</w:t>
        </w:r>
      </w:hyperlink>
      <w:r>
        <w:rPr>
          <w:rFonts w:ascii="Calibri" w:hAnsi="Calibri" w:cs="Calibri"/>
        </w:rPr>
        <w:t xml:space="preserve"> настоящей Методики;</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меньше суммы, указанной в </w:t>
      </w:r>
      <w:hyperlink w:anchor="Par52" w:history="1">
        <w:r>
          <w:rPr>
            <w:rFonts w:ascii="Calibri" w:hAnsi="Calibri" w:cs="Calibri"/>
            <w:color w:val="0000FF"/>
          </w:rPr>
          <w:t>подпункте 2 пункта 4</w:t>
        </w:r>
      </w:hyperlink>
      <w:r>
        <w:rPr>
          <w:rFonts w:ascii="Calibri" w:hAnsi="Calibri" w:cs="Calibri"/>
        </w:rPr>
        <w:t xml:space="preserve"> настоящей Методики, но больше или </w:t>
      </w:r>
      <w:r>
        <w:rPr>
          <w:rFonts w:ascii="Calibri" w:hAnsi="Calibri" w:cs="Calibri"/>
        </w:rPr>
        <w:lastRenderedPageBreak/>
        <w:t xml:space="preserve">равна сумме, указанной в </w:t>
      </w:r>
      <w:hyperlink w:anchor="Par53" w:history="1">
        <w:r>
          <w:rPr>
            <w:rFonts w:ascii="Calibri" w:hAnsi="Calibri" w:cs="Calibri"/>
            <w:color w:val="0000FF"/>
          </w:rPr>
          <w:t>подпункте 3 пункта 4</w:t>
        </w:r>
      </w:hyperlink>
      <w:r>
        <w:rPr>
          <w:rFonts w:ascii="Calibri" w:hAnsi="Calibri" w:cs="Calibri"/>
        </w:rPr>
        <w:t xml:space="preserve"> настоящей Методики, и при этом имеется чистая прибыль, указанная в </w:t>
      </w:r>
      <w:hyperlink w:anchor="Par54" w:history="1">
        <w:r>
          <w:rPr>
            <w:rFonts w:ascii="Calibri" w:hAnsi="Calibri" w:cs="Calibri"/>
            <w:color w:val="0000FF"/>
          </w:rPr>
          <w:t>подпункте 4 пункта 4</w:t>
        </w:r>
      </w:hyperlink>
      <w:r>
        <w:rPr>
          <w:rFonts w:ascii="Calibri" w:hAnsi="Calibri" w:cs="Calibri"/>
        </w:rPr>
        <w:t xml:space="preserve"> настоящей Методики;</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меньше суммы, указанной в </w:t>
      </w:r>
      <w:hyperlink w:anchor="Par53" w:history="1">
        <w:r>
          <w:rPr>
            <w:rFonts w:ascii="Calibri" w:hAnsi="Calibri" w:cs="Calibri"/>
            <w:color w:val="0000FF"/>
          </w:rPr>
          <w:t>подпункте 3 пункта 4</w:t>
        </w:r>
      </w:hyperlink>
      <w:r>
        <w:rPr>
          <w:rFonts w:ascii="Calibri" w:hAnsi="Calibri" w:cs="Calibri"/>
        </w:rPr>
        <w:t xml:space="preserve"> настоящей Методики.</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остальных случаях делается вывод о наличии угрозы возникновения признаков несостоятельности (банкротства) заинтересованного лица в случае единовременной уплаты им налога.</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В отношении заинтересованного лица, применяющего упрощенную систему налогообложения, и индивидуального предпринимателя, применяющего общий режим налогообложения, проводится анализ финансового состояния в соответствии с </w:t>
      </w:r>
      <w:hyperlink w:anchor="Par50" w:history="1">
        <w:r>
          <w:rPr>
            <w:rFonts w:ascii="Calibri" w:hAnsi="Calibri" w:cs="Calibri"/>
            <w:color w:val="0000FF"/>
          </w:rPr>
          <w:t>пунктами 4</w:t>
        </w:r>
      </w:hyperlink>
      <w:r>
        <w:rPr>
          <w:rFonts w:ascii="Calibri" w:hAnsi="Calibri" w:cs="Calibri"/>
        </w:rPr>
        <w:t xml:space="preserve"> и </w:t>
      </w:r>
      <w:hyperlink w:anchor="Par56" w:history="1">
        <w:r>
          <w:rPr>
            <w:rFonts w:ascii="Calibri" w:hAnsi="Calibri" w:cs="Calibri"/>
            <w:color w:val="0000FF"/>
          </w:rPr>
          <w:t>5</w:t>
        </w:r>
      </w:hyperlink>
      <w:r>
        <w:rPr>
          <w:rFonts w:ascii="Calibri" w:hAnsi="Calibri" w:cs="Calibri"/>
        </w:rPr>
        <w:t xml:space="preserve"> настоящей Методики и с учетом особенностей, предусмотренных настоящим пунктом, при этом сумма краткосрочных заемных средств и кредиторской задолженности рассматривается как сумма по неоплаченным расчетным документам, помещенным в соответствующую картотеку, определяемая на основании справок банков</w:t>
      </w:r>
      <w:proofErr w:type="gramEnd"/>
      <w:r>
        <w:rPr>
          <w:rFonts w:ascii="Calibri" w:hAnsi="Calibri" w:cs="Calibri"/>
        </w:rPr>
        <w:t xml:space="preserve"> (согласно документам, представленным в налоговый орган в соответствии с </w:t>
      </w:r>
      <w:hyperlink r:id="rId13" w:history="1">
        <w:r>
          <w:rPr>
            <w:rFonts w:ascii="Calibri" w:hAnsi="Calibri" w:cs="Calibri"/>
            <w:color w:val="0000FF"/>
          </w:rPr>
          <w:t>подпунктом 3 пункта 5 статьи 64</w:t>
        </w:r>
      </w:hyperlink>
      <w:r>
        <w:rPr>
          <w:rFonts w:ascii="Calibri" w:hAnsi="Calibri" w:cs="Calibri"/>
        </w:rPr>
        <w:t xml:space="preserve"> Кодекса).</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индивидуального предпринимателя, применяющего общий режим налогообложения, чистая прибыль отчетного периода определяется как сумма полученного дохода от предпринимательской деятельности, уменьшенная на сумму профессионального налогового вычета за налоговый период, по данным представленной в установленном порядке в налоговый орган налоговой декларации по налогу на доходы физических лиц на последнюю отчетную дату.</w:t>
      </w:r>
    </w:p>
    <w:p w:rsidR="000C1824" w:rsidRDefault="000C182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заинтересованного лица, применяющего упрощенную систему налогообложения, выбравшего в качестве объекта налогообложения доходы, уменьшенные на величину расходов, чистая прибыль отчетного периода определяется как сумма полученных доходов, уменьшенная на сумму произведенных расходов, за налоговый период по данным представленной в установленном порядке в налоговый орган налоговой декларации по налогу, уплачиваемому в связи с применением упрощенной системы налогообложения, на последнюю отчетную дату.</w:t>
      </w:r>
      <w:proofErr w:type="gramEnd"/>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заинтересованного лица, применяющего упрощенную систему налогообложения, выбравшего в качестве объекта налогообложения доходы, чистая прибыль отчетного периода определяется как сумма полученных доходов за налоговый период по данным представленной в установленном </w:t>
      </w:r>
      <w:hyperlink r:id="rId14" w:history="1">
        <w:r>
          <w:rPr>
            <w:rFonts w:ascii="Calibri" w:hAnsi="Calibri" w:cs="Calibri"/>
            <w:color w:val="0000FF"/>
          </w:rPr>
          <w:t>порядке</w:t>
        </w:r>
      </w:hyperlink>
      <w:r>
        <w:rPr>
          <w:rFonts w:ascii="Calibri" w:hAnsi="Calibri" w:cs="Calibri"/>
        </w:rPr>
        <w:t xml:space="preserve"> в налоговый орган налоговой декларации по налогу, уплачиваемому в связи с применением упрощенной системы налогообложения, на последнюю отчетную дату.</w:t>
      </w:r>
    </w:p>
    <w:p w:rsidR="000C1824" w:rsidRDefault="000C1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предприниматель, применяющий упрощенную систему налогообложения на основе патента, считается имеющим чистую прибыль отчетного периода.</w:t>
      </w:r>
    </w:p>
    <w:sectPr w:rsidR="000C1824" w:rsidSect="00E43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24"/>
    <w:rsid w:val="000C1824"/>
    <w:rsid w:val="00973DEA"/>
    <w:rsid w:val="00A7712C"/>
    <w:rsid w:val="00CB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FBB8D74EF252B184D1B525A3D17404DD807CE8177AD971E4DB970DDC549CEF2668647DC1p053I" TargetMode="External"/><Relationship Id="rId13" Type="http://schemas.openxmlformats.org/officeDocument/2006/relationships/hyperlink" Target="consultantplus://offline/ref=18FBB8D74EF252B184D1B525A3D17404DD807CE8177AD971E4DB970DDC549CEF26686478C407pA5CI" TargetMode="External"/><Relationship Id="rId3" Type="http://schemas.openxmlformats.org/officeDocument/2006/relationships/settings" Target="settings.xml"/><Relationship Id="rId7" Type="http://schemas.openxmlformats.org/officeDocument/2006/relationships/hyperlink" Target="consultantplus://offline/ref=18FBB8D74EF252B184D1B525A3D17404DD807CE8177AD971E4DB970DDC549CEF26686478C406pA5DI" TargetMode="External"/><Relationship Id="rId12" Type="http://schemas.openxmlformats.org/officeDocument/2006/relationships/hyperlink" Target="consultantplus://offline/ref=18FBB8D74EF252B184D1B525A3D17404DD807CE8177AD971E4DB970DDC549CEF26686478C407pA5C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8FBB8D74EF252B184D1B525A3D17404DD8F75EA167DD971E4DB970DDC549CEF2668647ApC5DI" TargetMode="External"/><Relationship Id="rId11" Type="http://schemas.openxmlformats.org/officeDocument/2006/relationships/hyperlink" Target="consultantplus://offline/ref=18FBB8D74EF252B184D1B525A3D17404DD8076EC1579D971E4DB970DDC549CEF26686478CC05pA5CI" TargetMode="External"/><Relationship Id="rId5" Type="http://schemas.openxmlformats.org/officeDocument/2006/relationships/hyperlink" Target="consultantplus://offline/ref=18FBB8D74EF252B184D1B525A3D17404DD807CE8177AD971E4DB970DDC549CEF26686478C404pA5AI" TargetMode="External"/><Relationship Id="rId15" Type="http://schemas.openxmlformats.org/officeDocument/2006/relationships/fontTable" Target="fontTable.xml"/><Relationship Id="rId10" Type="http://schemas.openxmlformats.org/officeDocument/2006/relationships/hyperlink" Target="consultantplus://offline/ref=18FBB8D74EF252B184D1B525A3D17404DD807CE8177AD971E4DB970DDC549CEF26686478C407pA59I" TargetMode="External"/><Relationship Id="rId4" Type="http://schemas.openxmlformats.org/officeDocument/2006/relationships/webSettings" Target="webSettings.xml"/><Relationship Id="rId9" Type="http://schemas.openxmlformats.org/officeDocument/2006/relationships/hyperlink" Target="consultantplus://offline/ref=18FBB8D74EF252B184D1B525A3D17404DD807CE8177AD971E4DB970DDC549CEF26686478C405pA5AI" TargetMode="External"/><Relationship Id="rId14" Type="http://schemas.openxmlformats.org/officeDocument/2006/relationships/hyperlink" Target="consultantplus://offline/ref=18FBB8D74EF252B184D1B525A3D17404DD8F75E01379D971E4DB970DDC549CEF26686478C501AF40pA5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1560</Words>
  <Characters>8895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Юлия Николаевна</dc:creator>
  <cp:lastModifiedBy>Федорова Юлия Николаевна</cp:lastModifiedBy>
  <cp:revision>1</cp:revision>
  <dcterms:created xsi:type="dcterms:W3CDTF">2015-06-19T08:57:00Z</dcterms:created>
  <dcterms:modified xsi:type="dcterms:W3CDTF">2015-06-19T08:58:00Z</dcterms:modified>
</cp:coreProperties>
</file>